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932" w:rsidRPr="00A80ED4" w:rsidRDefault="00871682" w:rsidP="00A80ED4">
      <w:pPr>
        <w:spacing w:after="0" w:line="240" w:lineRule="auto"/>
        <w:jc w:val="center"/>
        <w:outlineLvl w:val="0"/>
        <w:rPr>
          <w:rFonts w:ascii="Times New Roman" w:eastAsia="Times New Roman" w:hAnsi="Times New Roman" w:cs="Times New Roman"/>
          <w:b/>
          <w:bCs/>
          <w:color w:val="548DD4" w:themeColor="text2" w:themeTint="99"/>
          <w:kern w:val="36"/>
          <w:sz w:val="36"/>
          <w:szCs w:val="36"/>
        </w:rPr>
      </w:pPr>
      <w:r>
        <w:rPr>
          <w:rFonts w:ascii="Times New Roman" w:eastAsia="Times New Roman" w:hAnsi="Times New Roman" w:cs="Times New Roman"/>
          <w:b/>
          <w:bCs/>
          <w:color w:val="548DD4" w:themeColor="text2" w:themeTint="99"/>
          <w:kern w:val="36"/>
          <w:sz w:val="36"/>
          <w:szCs w:val="36"/>
        </w:rPr>
        <w:t>Guidelines</w:t>
      </w:r>
      <w:r w:rsidR="00B66B4F">
        <w:rPr>
          <w:rFonts w:ascii="Times New Roman" w:eastAsia="Times New Roman" w:hAnsi="Times New Roman" w:cs="Times New Roman"/>
          <w:b/>
          <w:bCs/>
          <w:color w:val="548DD4" w:themeColor="text2" w:themeTint="99"/>
          <w:kern w:val="36"/>
          <w:sz w:val="36"/>
          <w:szCs w:val="36"/>
        </w:rPr>
        <w:t xml:space="preserve"> on Agreements and Contracts </w:t>
      </w:r>
      <w:proofErr w:type="gramStart"/>
      <w:r w:rsidR="00B66B4F">
        <w:rPr>
          <w:rFonts w:ascii="Times New Roman" w:eastAsia="Times New Roman" w:hAnsi="Times New Roman" w:cs="Times New Roman"/>
          <w:b/>
          <w:bCs/>
          <w:color w:val="548DD4" w:themeColor="text2" w:themeTint="99"/>
          <w:kern w:val="36"/>
          <w:sz w:val="36"/>
          <w:szCs w:val="36"/>
        </w:rPr>
        <w:t>Outside</w:t>
      </w:r>
      <w:proofErr w:type="gramEnd"/>
      <w:r w:rsidR="00B66B4F">
        <w:rPr>
          <w:rFonts w:ascii="Times New Roman" w:eastAsia="Times New Roman" w:hAnsi="Times New Roman" w:cs="Times New Roman"/>
          <w:b/>
          <w:bCs/>
          <w:color w:val="548DD4" w:themeColor="text2" w:themeTint="99"/>
          <w:kern w:val="36"/>
          <w:sz w:val="36"/>
          <w:szCs w:val="36"/>
        </w:rPr>
        <w:t xml:space="preserve"> the U.S.</w:t>
      </w:r>
    </w:p>
    <w:p w:rsidR="00DF36CB" w:rsidRDefault="00952962" w:rsidP="00D65B4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general</w:t>
      </w:r>
      <w:r w:rsidR="00D65B43">
        <w:rPr>
          <w:rFonts w:ascii="Times New Roman" w:eastAsia="Times New Roman" w:hAnsi="Times New Roman" w:cs="Times New Roman"/>
          <w:sz w:val="24"/>
          <w:szCs w:val="24"/>
        </w:rPr>
        <w:t xml:space="preserve">, the following central administration units are responsible for funded collaborations, donor agreements, clinical research, procurements, and academic programs.  </w:t>
      </w:r>
    </w:p>
    <w:p w:rsidR="00D65B43" w:rsidRPr="004724EF" w:rsidRDefault="00D65B43" w:rsidP="00D65B4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Importantly, where a faculty member or department contacts </w:t>
      </w:r>
      <w:r w:rsidRPr="00DF36CB">
        <w:rPr>
          <w:rFonts w:ascii="Times New Roman" w:eastAsia="Times New Roman" w:hAnsi="Times New Roman" w:cs="Times New Roman"/>
          <w:b/>
          <w:i/>
          <w:sz w:val="24"/>
          <w:szCs w:val="24"/>
        </w:rPr>
        <w:t>any</w:t>
      </w:r>
      <w:r>
        <w:rPr>
          <w:rFonts w:ascii="Times New Roman" w:eastAsia="Times New Roman" w:hAnsi="Times New Roman" w:cs="Times New Roman"/>
          <w:i/>
          <w:sz w:val="24"/>
          <w:szCs w:val="24"/>
        </w:rPr>
        <w:t xml:space="preserve"> of these central administrative units, the central administration should take the lead on ensuring that appropriate resources are involved. A faculty</w:t>
      </w:r>
      <w:r w:rsidR="00B77ED5">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member or department need only to contact one central administration unit, and the central administration will work behind the scenes and directly with the department and faculty member toward a smooth and efficient review of each opportunity. </w:t>
      </w:r>
    </w:p>
    <w:p w:rsidR="004724EF" w:rsidRDefault="004724EF" w:rsidP="004724EF">
      <w:pPr>
        <w:spacing w:before="100" w:beforeAutospacing="1" w:after="100" w:afterAutospacing="1" w:line="240" w:lineRule="auto"/>
        <w:ind w:left="720"/>
        <w:rPr>
          <w:rFonts w:ascii="Times New Roman" w:eastAsia="Times New Roman" w:hAnsi="Times New Roman" w:cs="Times New Roman"/>
          <w:sz w:val="24"/>
          <w:szCs w:val="24"/>
        </w:rPr>
      </w:pPr>
      <w:r w:rsidRPr="004724EF">
        <w:rPr>
          <w:rFonts w:ascii="Times New Roman" w:eastAsia="Times New Roman" w:hAnsi="Times New Roman" w:cs="Times New Roman"/>
          <w:b/>
          <w:bCs/>
          <w:sz w:val="24"/>
          <w:szCs w:val="24"/>
        </w:rPr>
        <w:t>Sponsored Projects Administration</w:t>
      </w:r>
      <w:r w:rsidRPr="004724EF">
        <w:rPr>
          <w:rFonts w:ascii="Times New Roman" w:eastAsia="Times New Roman" w:hAnsi="Times New Roman" w:cs="Times New Roman"/>
          <w:sz w:val="24"/>
          <w:szCs w:val="24"/>
        </w:rPr>
        <w:t xml:space="preserve"> (SPA) is responsible for funded collaborations</w:t>
      </w:r>
      <w:r w:rsidR="00376D05">
        <w:rPr>
          <w:rFonts w:ascii="Times New Roman" w:eastAsia="Times New Roman" w:hAnsi="Times New Roman" w:cs="Times New Roman"/>
          <w:sz w:val="24"/>
          <w:szCs w:val="24"/>
        </w:rPr>
        <w:t xml:space="preserve"> with governmental, academic, and non-profit organizations</w:t>
      </w:r>
      <w:r w:rsidR="00B77ED5">
        <w:rPr>
          <w:rFonts w:ascii="Times New Roman" w:eastAsia="Times New Roman" w:hAnsi="Times New Roman" w:cs="Times New Roman"/>
          <w:sz w:val="24"/>
          <w:szCs w:val="24"/>
        </w:rPr>
        <w:t xml:space="preserve">. </w:t>
      </w:r>
      <w:r w:rsidR="00952962">
        <w:rPr>
          <w:rFonts w:ascii="Times New Roman" w:eastAsia="Times New Roman" w:hAnsi="Times New Roman" w:cs="Times New Roman"/>
          <w:sz w:val="24"/>
          <w:szCs w:val="24"/>
        </w:rPr>
        <w:t xml:space="preserve">SPA </w:t>
      </w:r>
      <w:r w:rsidRPr="004724EF">
        <w:rPr>
          <w:rFonts w:ascii="Times New Roman" w:eastAsia="Times New Roman" w:hAnsi="Times New Roman" w:cs="Times New Roman"/>
          <w:sz w:val="24"/>
          <w:szCs w:val="24"/>
        </w:rPr>
        <w:t xml:space="preserve">oversees the preparation, negotiation, final approval and execution of </w:t>
      </w:r>
      <w:proofErr w:type="spellStart"/>
      <w:r w:rsidRPr="004724EF">
        <w:rPr>
          <w:rFonts w:ascii="Times New Roman" w:eastAsia="Times New Roman" w:hAnsi="Times New Roman" w:cs="Times New Roman"/>
          <w:sz w:val="24"/>
          <w:szCs w:val="24"/>
        </w:rPr>
        <w:t>subaward</w:t>
      </w:r>
      <w:proofErr w:type="spellEnd"/>
      <w:r w:rsidRPr="004724EF">
        <w:rPr>
          <w:rFonts w:ascii="Times New Roman" w:eastAsia="Times New Roman" w:hAnsi="Times New Roman" w:cs="Times New Roman"/>
          <w:sz w:val="24"/>
          <w:szCs w:val="24"/>
        </w:rPr>
        <w:t xml:space="preserve"> agreements </w:t>
      </w:r>
      <w:r w:rsidRPr="004724EF">
        <w:rPr>
          <w:rFonts w:ascii="Times New Roman" w:eastAsia="Times New Roman" w:hAnsi="Times New Roman" w:cs="Times New Roman"/>
          <w:sz w:val="24"/>
          <w:szCs w:val="24"/>
          <w:u w:val="single"/>
        </w:rPr>
        <w:t>other than clinical trials</w:t>
      </w:r>
      <w:r w:rsidRPr="004724EF">
        <w:rPr>
          <w:rFonts w:ascii="Times New Roman" w:eastAsia="Times New Roman" w:hAnsi="Times New Roman" w:cs="Times New Roman"/>
          <w:sz w:val="24"/>
          <w:szCs w:val="24"/>
        </w:rPr>
        <w:t>.</w:t>
      </w:r>
    </w:p>
    <w:p w:rsidR="00D55D99" w:rsidRPr="00D55D99" w:rsidRDefault="00D55D99" w:rsidP="004724EF">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Columbia/Technology Ventures (CTV) </w:t>
      </w:r>
      <w:r>
        <w:rPr>
          <w:rFonts w:ascii="Times New Roman" w:eastAsia="Times New Roman" w:hAnsi="Times New Roman" w:cs="Times New Roman"/>
          <w:bCs/>
          <w:sz w:val="24"/>
          <w:szCs w:val="24"/>
        </w:rPr>
        <w:t xml:space="preserve">works with commercial entities to explore collaborations.  SPA and CTV coordinate as appropriate where there is overlap between their </w:t>
      </w:r>
      <w:r w:rsidR="00B77ED5">
        <w:rPr>
          <w:rFonts w:ascii="Times New Roman" w:eastAsia="Times New Roman" w:hAnsi="Times New Roman" w:cs="Times New Roman"/>
          <w:bCs/>
          <w:sz w:val="24"/>
          <w:szCs w:val="24"/>
        </w:rPr>
        <w:t>treatments</w:t>
      </w:r>
      <w:r>
        <w:rPr>
          <w:rFonts w:ascii="Times New Roman" w:eastAsia="Times New Roman" w:hAnsi="Times New Roman" w:cs="Times New Roman"/>
          <w:bCs/>
          <w:sz w:val="24"/>
          <w:szCs w:val="24"/>
        </w:rPr>
        <w:t xml:space="preserve"> of any individual relationship. </w:t>
      </w:r>
    </w:p>
    <w:p w:rsidR="00952962" w:rsidRPr="004724EF" w:rsidRDefault="00952962" w:rsidP="004724EF">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Pr="00952962">
        <w:rPr>
          <w:rFonts w:ascii="Times New Roman" w:eastAsia="Times New Roman" w:hAnsi="Times New Roman" w:cs="Times New Roman"/>
          <w:b/>
          <w:sz w:val="24"/>
          <w:szCs w:val="24"/>
        </w:rPr>
        <w:t>Office of Alumni and Development</w:t>
      </w:r>
      <w:r>
        <w:rPr>
          <w:rFonts w:ascii="Times New Roman" w:eastAsia="Times New Roman" w:hAnsi="Times New Roman" w:cs="Times New Roman"/>
          <w:sz w:val="24"/>
          <w:szCs w:val="24"/>
        </w:rPr>
        <w:t xml:space="preserve"> </w:t>
      </w:r>
      <w:r w:rsidR="00F77AC6">
        <w:rPr>
          <w:rFonts w:ascii="Times New Roman" w:eastAsia="Times New Roman" w:hAnsi="Times New Roman" w:cs="Times New Roman"/>
          <w:sz w:val="24"/>
          <w:szCs w:val="24"/>
        </w:rPr>
        <w:t xml:space="preserve">(Development) </w:t>
      </w:r>
      <w:r>
        <w:rPr>
          <w:rFonts w:ascii="Times New Roman" w:eastAsia="Times New Roman" w:hAnsi="Times New Roman" w:cs="Times New Roman"/>
          <w:sz w:val="24"/>
          <w:szCs w:val="24"/>
        </w:rPr>
        <w:t>reviews and enters into agreements with donors</w:t>
      </w:r>
      <w:r w:rsidR="00852830">
        <w:rPr>
          <w:rFonts w:ascii="Times New Roman" w:eastAsia="Times New Roman" w:hAnsi="Times New Roman" w:cs="Times New Roman"/>
          <w:sz w:val="24"/>
          <w:szCs w:val="24"/>
        </w:rPr>
        <w:t xml:space="preserve"> both in the U.S. and overseas. </w:t>
      </w:r>
      <w:r w:rsidR="00F77AC6">
        <w:rPr>
          <w:rFonts w:ascii="Times New Roman" w:eastAsia="Times New Roman" w:hAnsi="Times New Roman" w:cs="Times New Roman"/>
          <w:sz w:val="24"/>
          <w:szCs w:val="24"/>
        </w:rPr>
        <w:t>Where guidance is needed for international gifts</w:t>
      </w:r>
      <w:r w:rsidR="00B77ED5">
        <w:rPr>
          <w:rFonts w:ascii="Times New Roman" w:eastAsia="Times New Roman" w:hAnsi="Times New Roman" w:cs="Times New Roman"/>
          <w:sz w:val="24"/>
          <w:szCs w:val="24"/>
        </w:rPr>
        <w:t>, Development</w:t>
      </w:r>
      <w:r w:rsidR="00F77AC6">
        <w:rPr>
          <w:rFonts w:ascii="Times New Roman" w:eastAsia="Times New Roman" w:hAnsi="Times New Roman" w:cs="Times New Roman"/>
          <w:sz w:val="24"/>
          <w:szCs w:val="24"/>
        </w:rPr>
        <w:t xml:space="preserve"> works with the International Gift Committee </w:t>
      </w:r>
      <w:r w:rsidRPr="00952962">
        <w:rPr>
          <w:rFonts w:ascii="Times New Roman" w:eastAsia="Times New Roman" w:hAnsi="Times New Roman" w:cs="Times New Roman"/>
          <w:sz w:val="24"/>
          <w:szCs w:val="24"/>
        </w:rPr>
        <w:t>led by the Provost</w:t>
      </w:r>
      <w:r w:rsidR="00F77AC6">
        <w:rPr>
          <w:rFonts w:ascii="Times New Roman" w:eastAsia="Times New Roman" w:hAnsi="Times New Roman" w:cs="Times New Roman"/>
          <w:sz w:val="24"/>
          <w:szCs w:val="24"/>
        </w:rPr>
        <w:t xml:space="preserve">.  </w:t>
      </w:r>
    </w:p>
    <w:p w:rsidR="004724EF" w:rsidRDefault="00337976" w:rsidP="004724EF">
      <w:pPr>
        <w:spacing w:before="100" w:beforeAutospacing="1" w:after="100" w:afterAutospacing="1" w:line="240" w:lineRule="auto"/>
        <w:ind w:left="720"/>
        <w:rPr>
          <w:rFonts w:ascii="Times New Roman" w:eastAsia="Times New Roman" w:hAnsi="Times New Roman" w:cs="Times New Roman"/>
          <w:sz w:val="24"/>
          <w:szCs w:val="24"/>
        </w:rPr>
      </w:pPr>
      <w:r w:rsidRPr="00337976">
        <w:rPr>
          <w:rFonts w:ascii="Times New Roman" w:eastAsia="Times New Roman" w:hAnsi="Times New Roman" w:cs="Times New Roman"/>
          <w:bCs/>
          <w:sz w:val="24"/>
          <w:szCs w:val="24"/>
        </w:rPr>
        <w:t>The</w:t>
      </w:r>
      <w:r>
        <w:rPr>
          <w:rFonts w:ascii="Times New Roman" w:eastAsia="Times New Roman" w:hAnsi="Times New Roman" w:cs="Times New Roman"/>
          <w:b/>
          <w:bCs/>
          <w:sz w:val="24"/>
          <w:szCs w:val="24"/>
        </w:rPr>
        <w:t xml:space="preserve"> </w:t>
      </w:r>
      <w:r w:rsidR="004724EF" w:rsidRPr="004724EF">
        <w:rPr>
          <w:rFonts w:ascii="Times New Roman" w:eastAsia="Times New Roman" w:hAnsi="Times New Roman" w:cs="Times New Roman"/>
          <w:b/>
          <w:bCs/>
          <w:sz w:val="24"/>
          <w:szCs w:val="24"/>
        </w:rPr>
        <w:t>Clinical Trials Office</w:t>
      </w:r>
      <w:bookmarkStart w:id="0" w:name="_GoBack"/>
      <w:bookmarkEnd w:id="0"/>
      <w:r w:rsidR="004724EF" w:rsidRPr="004724EF">
        <w:rPr>
          <w:rFonts w:ascii="Times New Roman" w:eastAsia="Times New Roman" w:hAnsi="Times New Roman" w:cs="Times New Roman"/>
          <w:sz w:val="24"/>
          <w:szCs w:val="24"/>
        </w:rPr>
        <w:t xml:space="preserve"> (CTO) at the College of Physicians &amp; Surgeons (P&amp;S) is responsible for the preparation, negotiation, final approval and execution of agreements relating to </w:t>
      </w:r>
      <w:proofErr w:type="spellStart"/>
      <w:r w:rsidR="004724EF" w:rsidRPr="004724EF">
        <w:rPr>
          <w:rFonts w:ascii="Times New Roman" w:eastAsia="Times New Roman" w:hAnsi="Times New Roman" w:cs="Times New Roman"/>
          <w:sz w:val="24"/>
          <w:szCs w:val="24"/>
        </w:rPr>
        <w:t>subawards</w:t>
      </w:r>
      <w:proofErr w:type="spellEnd"/>
      <w:r w:rsidR="004724EF" w:rsidRPr="004724EF">
        <w:rPr>
          <w:rFonts w:ascii="Times New Roman" w:eastAsia="Times New Roman" w:hAnsi="Times New Roman" w:cs="Times New Roman"/>
          <w:sz w:val="24"/>
          <w:szCs w:val="24"/>
        </w:rPr>
        <w:t xml:space="preserve"> for clinical trials.</w:t>
      </w:r>
    </w:p>
    <w:p w:rsidR="00E47438" w:rsidRDefault="00E47438" w:rsidP="004724EF">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8941CE" w:rsidRPr="008B4F0F">
        <w:rPr>
          <w:rFonts w:ascii="Times New Roman" w:eastAsia="Times New Roman" w:hAnsi="Times New Roman" w:cs="Times New Roman"/>
          <w:b/>
          <w:sz w:val="24"/>
          <w:szCs w:val="24"/>
        </w:rPr>
        <w:t>Purchasing Department</w:t>
      </w:r>
      <w:r>
        <w:rPr>
          <w:rFonts w:ascii="Times New Roman" w:eastAsia="Times New Roman" w:hAnsi="Times New Roman" w:cs="Times New Roman"/>
          <w:sz w:val="24"/>
          <w:szCs w:val="24"/>
        </w:rPr>
        <w:t xml:space="preserve"> handles orders of services, software, and goods with external vendors, both in the U.S. and internationally.  </w:t>
      </w:r>
    </w:p>
    <w:p w:rsidR="00952962" w:rsidRPr="004724EF" w:rsidRDefault="00952962" w:rsidP="004724EF">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8941CE" w:rsidRPr="008B4F0F">
        <w:rPr>
          <w:rFonts w:ascii="Times New Roman" w:eastAsia="Times New Roman" w:hAnsi="Times New Roman" w:cs="Times New Roman"/>
          <w:b/>
          <w:sz w:val="24"/>
          <w:szCs w:val="24"/>
        </w:rPr>
        <w:t>Office of the Provost</w:t>
      </w:r>
      <w:r>
        <w:rPr>
          <w:rFonts w:ascii="Times New Roman" w:eastAsia="Times New Roman" w:hAnsi="Times New Roman" w:cs="Times New Roman"/>
          <w:sz w:val="24"/>
          <w:szCs w:val="24"/>
        </w:rPr>
        <w:t xml:space="preserve"> approves new academic collaborations and agreements.  </w:t>
      </w:r>
    </w:p>
    <w:p w:rsidR="00101905" w:rsidRDefault="00101905" w:rsidP="004724E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of these offices works with the </w:t>
      </w:r>
      <w:r w:rsidR="008941CE" w:rsidRPr="008B4F0F">
        <w:rPr>
          <w:rFonts w:ascii="Times New Roman" w:eastAsia="Times New Roman" w:hAnsi="Times New Roman" w:cs="Times New Roman"/>
          <w:b/>
          <w:sz w:val="24"/>
          <w:szCs w:val="24"/>
        </w:rPr>
        <w:t>Office of General Counsel</w:t>
      </w:r>
      <w:r>
        <w:rPr>
          <w:rFonts w:ascii="Times New Roman" w:eastAsia="Times New Roman" w:hAnsi="Times New Roman" w:cs="Times New Roman"/>
          <w:sz w:val="24"/>
          <w:szCs w:val="24"/>
        </w:rPr>
        <w:t xml:space="preserve"> in negotiating and drafting external agreements. </w:t>
      </w:r>
    </w:p>
    <w:p w:rsidR="006A3803" w:rsidRDefault="006A3803" w:rsidP="004724E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Types of arrangements that require central administration review and signature include:  </w:t>
      </w:r>
    </w:p>
    <w:p w:rsidR="00C57928" w:rsidRPr="00372CBC" w:rsidRDefault="00C57928" w:rsidP="004724EF">
      <w:pPr>
        <w:pStyle w:val="NormalWeb"/>
        <w:ind w:left="720"/>
        <w:rPr>
          <w:sz w:val="22"/>
          <w:szCs w:val="22"/>
        </w:rPr>
      </w:pPr>
      <w:r w:rsidRPr="00372CBC">
        <w:rPr>
          <w:rStyle w:val="Strong"/>
          <w:sz w:val="22"/>
          <w:szCs w:val="22"/>
        </w:rPr>
        <w:t xml:space="preserve">Letter of Intent to </w:t>
      </w:r>
      <w:proofErr w:type="gramStart"/>
      <w:r w:rsidRPr="00372CBC">
        <w:rPr>
          <w:rStyle w:val="Strong"/>
          <w:sz w:val="22"/>
          <w:szCs w:val="22"/>
        </w:rPr>
        <w:t>Collaborate</w:t>
      </w:r>
      <w:proofErr w:type="gramEnd"/>
      <w:r w:rsidRPr="00372CBC">
        <w:rPr>
          <w:rStyle w:val="Strong"/>
          <w:sz w:val="22"/>
          <w:szCs w:val="22"/>
        </w:rPr>
        <w:t xml:space="preserve"> (</w:t>
      </w:r>
      <w:r w:rsidR="006A3803">
        <w:rPr>
          <w:rStyle w:val="Strong"/>
          <w:sz w:val="22"/>
          <w:szCs w:val="22"/>
        </w:rPr>
        <w:t xml:space="preserve">even if purported to be </w:t>
      </w:r>
      <w:r w:rsidRPr="00372CBC">
        <w:rPr>
          <w:rStyle w:val="Strong"/>
          <w:sz w:val="22"/>
          <w:szCs w:val="22"/>
        </w:rPr>
        <w:t>nonbinding)</w:t>
      </w:r>
      <w:r w:rsidRPr="00372CBC">
        <w:rPr>
          <w:sz w:val="22"/>
          <w:szCs w:val="22"/>
        </w:rPr>
        <w:t>: Expression of the parties’ intent to collaborate in one or more areas where business terms are not yet defined. Funding may not yet be available.</w:t>
      </w:r>
    </w:p>
    <w:p w:rsidR="00C57928" w:rsidRPr="00372CBC" w:rsidRDefault="00C57928" w:rsidP="004724EF">
      <w:pPr>
        <w:pStyle w:val="NormalWeb"/>
        <w:ind w:left="720"/>
        <w:rPr>
          <w:sz w:val="22"/>
          <w:szCs w:val="22"/>
        </w:rPr>
      </w:pPr>
      <w:r w:rsidRPr="00372CBC">
        <w:rPr>
          <w:rStyle w:val="Strong"/>
          <w:sz w:val="22"/>
          <w:szCs w:val="22"/>
        </w:rPr>
        <w:t xml:space="preserve">Memorandum of Understanding (MOU) or Memorandum of </w:t>
      </w:r>
      <w:r w:rsidR="00B77ED5" w:rsidRPr="00372CBC">
        <w:rPr>
          <w:rStyle w:val="Strong"/>
          <w:sz w:val="22"/>
          <w:szCs w:val="22"/>
        </w:rPr>
        <w:t>Agreement</w:t>
      </w:r>
      <w:r w:rsidR="00B77ED5" w:rsidRPr="00B77ED5">
        <w:rPr>
          <w:rStyle w:val="Strong"/>
          <w:b w:val="0"/>
          <w:sz w:val="22"/>
          <w:szCs w:val="22"/>
        </w:rPr>
        <w:t>:</w:t>
      </w:r>
      <w:r w:rsidR="00852830">
        <w:rPr>
          <w:sz w:val="22"/>
          <w:szCs w:val="22"/>
        </w:rPr>
        <w:t xml:space="preserve"> The parties’ </w:t>
      </w:r>
      <w:r w:rsidRPr="00372CBC">
        <w:rPr>
          <w:sz w:val="22"/>
          <w:szCs w:val="22"/>
        </w:rPr>
        <w:t>operational document for specific programs or activities.</w:t>
      </w:r>
    </w:p>
    <w:p w:rsidR="00C57928" w:rsidRPr="00372CBC" w:rsidRDefault="00C57928" w:rsidP="004724EF">
      <w:pPr>
        <w:pStyle w:val="NormalWeb"/>
        <w:ind w:left="720"/>
        <w:rPr>
          <w:sz w:val="22"/>
          <w:szCs w:val="22"/>
        </w:rPr>
      </w:pPr>
      <w:r w:rsidRPr="00372CBC">
        <w:rPr>
          <w:rStyle w:val="Strong"/>
          <w:sz w:val="22"/>
          <w:szCs w:val="22"/>
        </w:rPr>
        <w:t>Affiliatio</w:t>
      </w:r>
      <w:r w:rsidR="004724EF">
        <w:rPr>
          <w:rStyle w:val="Strong"/>
          <w:sz w:val="22"/>
          <w:szCs w:val="22"/>
        </w:rPr>
        <w:t>n</w:t>
      </w:r>
      <w:r w:rsidR="00A80ED4">
        <w:rPr>
          <w:rStyle w:val="Strong"/>
          <w:sz w:val="22"/>
          <w:szCs w:val="22"/>
        </w:rPr>
        <w:t xml:space="preserve"> A</w:t>
      </w:r>
      <w:r w:rsidRPr="00372CBC">
        <w:rPr>
          <w:rStyle w:val="Strong"/>
          <w:sz w:val="22"/>
          <w:szCs w:val="22"/>
        </w:rPr>
        <w:t>greement:</w:t>
      </w:r>
      <w:r w:rsidRPr="00372CBC">
        <w:rPr>
          <w:sz w:val="22"/>
          <w:szCs w:val="22"/>
        </w:rPr>
        <w:t xml:space="preserve"> Similar to an MOU, and often used synonymously.</w:t>
      </w:r>
      <w:r w:rsidR="006A3803">
        <w:rPr>
          <w:sz w:val="22"/>
          <w:szCs w:val="22"/>
        </w:rPr>
        <w:t xml:space="preserve"> </w:t>
      </w:r>
      <w:r w:rsidRPr="00372CBC">
        <w:rPr>
          <w:sz w:val="22"/>
          <w:szCs w:val="22"/>
        </w:rPr>
        <w:t xml:space="preserve"> Legally binding contract typically entered into by two educational institutions for the purposes of directly furthering the parties’ respective </w:t>
      </w:r>
      <w:proofErr w:type="gramStart"/>
      <w:r w:rsidRPr="00372CBC">
        <w:rPr>
          <w:sz w:val="22"/>
          <w:szCs w:val="22"/>
        </w:rPr>
        <w:t>educational</w:t>
      </w:r>
      <w:proofErr w:type="gramEnd"/>
      <w:r w:rsidRPr="00372CBC">
        <w:rPr>
          <w:sz w:val="22"/>
          <w:szCs w:val="22"/>
        </w:rPr>
        <w:t xml:space="preserve"> missions.</w:t>
      </w:r>
    </w:p>
    <w:p w:rsidR="00C57928" w:rsidRPr="00372CBC" w:rsidRDefault="00A80ED4" w:rsidP="004724EF">
      <w:pPr>
        <w:pStyle w:val="NormalWeb"/>
        <w:ind w:left="720"/>
        <w:rPr>
          <w:sz w:val="22"/>
          <w:szCs w:val="22"/>
        </w:rPr>
      </w:pPr>
      <w:r>
        <w:rPr>
          <w:rStyle w:val="Strong"/>
          <w:sz w:val="22"/>
          <w:szCs w:val="22"/>
        </w:rPr>
        <w:t>Sponsored Research or Service A</w:t>
      </w:r>
      <w:r w:rsidR="00C57928" w:rsidRPr="00372CBC">
        <w:rPr>
          <w:rStyle w:val="Strong"/>
          <w:sz w:val="22"/>
          <w:szCs w:val="22"/>
        </w:rPr>
        <w:t>greements</w:t>
      </w:r>
      <w:r w:rsidR="00C57928" w:rsidRPr="00372CBC">
        <w:rPr>
          <w:sz w:val="22"/>
          <w:szCs w:val="22"/>
        </w:rPr>
        <w:t xml:space="preserve">: require the signature of an authorized institutional official to accept formally the terms and conditions of the award. </w:t>
      </w:r>
      <w:r>
        <w:rPr>
          <w:sz w:val="22"/>
          <w:szCs w:val="22"/>
        </w:rPr>
        <w:t>Sponsored Projects Administration (SPA)</w:t>
      </w:r>
      <w:r w:rsidR="00C57928" w:rsidRPr="00372CBC">
        <w:rPr>
          <w:sz w:val="22"/>
          <w:szCs w:val="22"/>
        </w:rPr>
        <w:t xml:space="preserve"> is responsible for providing the appropriate institutional signature.</w:t>
      </w:r>
    </w:p>
    <w:p w:rsidR="00C57928" w:rsidRPr="00372CBC" w:rsidRDefault="00C57928" w:rsidP="004724EF">
      <w:pPr>
        <w:pStyle w:val="NormalWeb"/>
        <w:rPr>
          <w:sz w:val="22"/>
          <w:szCs w:val="22"/>
        </w:rPr>
      </w:pPr>
      <w:r w:rsidRPr="00372CBC">
        <w:rPr>
          <w:rStyle w:val="Strong"/>
          <w:sz w:val="22"/>
          <w:szCs w:val="22"/>
        </w:rPr>
        <w:lastRenderedPageBreak/>
        <w:t xml:space="preserve">Principal Investigators </w:t>
      </w:r>
      <w:r w:rsidRPr="00372CBC">
        <w:rPr>
          <w:sz w:val="22"/>
          <w:szCs w:val="22"/>
        </w:rPr>
        <w:t xml:space="preserve">may </w:t>
      </w:r>
      <w:r w:rsidRPr="00372CBC">
        <w:rPr>
          <w:sz w:val="22"/>
          <w:szCs w:val="22"/>
          <w:u w:val="single"/>
        </w:rPr>
        <w:t>not</w:t>
      </w:r>
      <w:r w:rsidRPr="00372CBC">
        <w:rPr>
          <w:sz w:val="22"/>
          <w:szCs w:val="22"/>
        </w:rPr>
        <w:t xml:space="preserve"> sign University agreements for sponsored support, patents or copyright licenses, biomaterials, equipment loans, materials transfer, or clinical trials. </w:t>
      </w:r>
      <w:r w:rsidR="00B77ED5">
        <w:rPr>
          <w:sz w:val="22"/>
          <w:szCs w:val="22"/>
        </w:rPr>
        <w:t xml:space="preserve">These </w:t>
      </w:r>
      <w:r w:rsidR="00B77ED5" w:rsidRPr="00372CBC">
        <w:rPr>
          <w:sz w:val="22"/>
          <w:szCs w:val="22"/>
        </w:rPr>
        <w:t>agreements</w:t>
      </w:r>
      <w:r w:rsidRPr="00372CBC">
        <w:rPr>
          <w:sz w:val="22"/>
          <w:szCs w:val="22"/>
        </w:rPr>
        <w:t xml:space="preserve"> may only be signed by authorization of the University Trustees through the President and senior University officers.</w:t>
      </w:r>
      <w:r w:rsidR="00A80ED4">
        <w:rPr>
          <w:sz w:val="22"/>
          <w:szCs w:val="22"/>
        </w:rPr>
        <w:t xml:space="preserve"> </w:t>
      </w:r>
      <w:r w:rsidRPr="00A80ED4">
        <w:rPr>
          <w:rStyle w:val="Strong"/>
          <w:b w:val="0"/>
          <w:sz w:val="22"/>
          <w:szCs w:val="22"/>
        </w:rPr>
        <w:t>These may include:</w:t>
      </w:r>
      <w:r w:rsidR="00A80ED4">
        <w:rPr>
          <w:sz w:val="22"/>
          <w:szCs w:val="22"/>
        </w:rPr>
        <w:t xml:space="preserve"> </w:t>
      </w:r>
      <w:r w:rsidRPr="00372CBC">
        <w:rPr>
          <w:sz w:val="22"/>
          <w:szCs w:val="22"/>
        </w:rPr>
        <w:t>Awards</w:t>
      </w:r>
      <w:r w:rsidR="00A80ED4">
        <w:rPr>
          <w:sz w:val="22"/>
          <w:szCs w:val="22"/>
        </w:rPr>
        <w:t>, Cooperative A</w:t>
      </w:r>
      <w:r w:rsidRPr="00372CBC">
        <w:rPr>
          <w:sz w:val="22"/>
          <w:szCs w:val="22"/>
        </w:rPr>
        <w:t>greements</w:t>
      </w:r>
      <w:r w:rsidR="00A80ED4">
        <w:rPr>
          <w:sz w:val="22"/>
          <w:szCs w:val="22"/>
        </w:rPr>
        <w:t xml:space="preserve"> or </w:t>
      </w:r>
      <w:r w:rsidRPr="00372CBC">
        <w:rPr>
          <w:sz w:val="22"/>
          <w:szCs w:val="22"/>
        </w:rPr>
        <w:t>Contracts</w:t>
      </w:r>
      <w:r w:rsidR="00A80ED4">
        <w:rPr>
          <w:sz w:val="22"/>
          <w:szCs w:val="22"/>
        </w:rPr>
        <w:t>.</w:t>
      </w:r>
    </w:p>
    <w:p w:rsidR="00CC2932" w:rsidRPr="001A7BBB" w:rsidRDefault="00CC2932" w:rsidP="00CC2932">
      <w:pPr>
        <w:pStyle w:val="NormalWeb"/>
        <w:rPr>
          <w:sz w:val="22"/>
          <w:szCs w:val="22"/>
        </w:rPr>
      </w:pPr>
      <w:r w:rsidRPr="001A7BBB">
        <w:rPr>
          <w:sz w:val="22"/>
          <w:szCs w:val="22"/>
        </w:rPr>
        <w:t>Signed agreements/contracts ensure that Columbia and its partners and subcontractors begin a project with clear expectations of their respective roles and responsibilities and prevent future confusion. They can also help protect Columbia and its faculty and staff from liability. In addition to employment contracts, there are three major types of agreements or contracts that may be executed between Columbia and international partners:</w:t>
      </w:r>
    </w:p>
    <w:p w:rsidR="00CC2932" w:rsidRPr="001A7BBB" w:rsidRDefault="00CC2932" w:rsidP="00A80ED4">
      <w:pPr>
        <w:pStyle w:val="NormalWeb"/>
        <w:rPr>
          <w:sz w:val="22"/>
          <w:szCs w:val="22"/>
        </w:rPr>
      </w:pPr>
      <w:r w:rsidRPr="001A7BBB">
        <w:rPr>
          <w:rStyle w:val="Strong"/>
          <w:sz w:val="22"/>
          <w:szCs w:val="22"/>
          <w:u w:val="single"/>
        </w:rPr>
        <w:t>Grant Subcontract/Sub award</w:t>
      </w:r>
      <w:r w:rsidRPr="001A7BBB">
        <w:rPr>
          <w:sz w:val="22"/>
          <w:szCs w:val="22"/>
        </w:rPr>
        <w:t xml:space="preserve"> designates a sub-recipient (third-party organization) to perform a portion of a sponsored project. Columbia may be either the primary recipient overseeing the sub-recipient or a sub-recipient on a grant issued to another organization.  A Grant Subcontract is often used to delegate in-country management to an organization with local knowledge or infrastructure. For further information please refer to Sponsored Projects Administration </w:t>
      </w:r>
      <w:hyperlink r:id="rId8" w:history="1">
        <w:proofErr w:type="spellStart"/>
        <w:r w:rsidRPr="001A7BBB">
          <w:rPr>
            <w:rStyle w:val="Hyperlink"/>
            <w:b/>
            <w:bCs/>
            <w:sz w:val="22"/>
            <w:szCs w:val="22"/>
          </w:rPr>
          <w:t>Subawards</w:t>
        </w:r>
        <w:proofErr w:type="spellEnd"/>
      </w:hyperlink>
      <w:r w:rsidRPr="001A7BBB">
        <w:rPr>
          <w:sz w:val="22"/>
          <w:szCs w:val="22"/>
        </w:rPr>
        <w:t>.</w:t>
      </w:r>
    </w:p>
    <w:p w:rsidR="00A80ED4" w:rsidRDefault="00CC2932" w:rsidP="00A80ED4">
      <w:pPr>
        <w:pStyle w:val="NormalWeb"/>
        <w:rPr>
          <w:sz w:val="22"/>
          <w:szCs w:val="22"/>
        </w:rPr>
      </w:pPr>
      <w:r w:rsidRPr="001A7BBB">
        <w:rPr>
          <w:rStyle w:val="Strong"/>
          <w:sz w:val="22"/>
          <w:szCs w:val="22"/>
          <w:u w:val="single"/>
        </w:rPr>
        <w:t>Service Agreement or Consulting Agreement</w:t>
      </w:r>
      <w:r w:rsidRPr="001A7BBB">
        <w:rPr>
          <w:sz w:val="22"/>
          <w:szCs w:val="22"/>
        </w:rPr>
        <w:t xml:space="preserve"> is between Columbia and a vendor (a business, university, non-profit, or individual) who agrees to provide a service in exchange for a fee, but does not assume responsibility for a project beyond the deliverables specified in </w:t>
      </w:r>
      <w:r w:rsidR="00A80ED4">
        <w:rPr>
          <w:sz w:val="22"/>
          <w:szCs w:val="22"/>
        </w:rPr>
        <w:t>the agreement.</w:t>
      </w:r>
    </w:p>
    <w:p w:rsidR="004D7008" w:rsidRPr="001A7BBB" w:rsidRDefault="004D7008" w:rsidP="00A80ED4">
      <w:pPr>
        <w:pStyle w:val="NormalWeb"/>
        <w:ind w:left="720"/>
        <w:rPr>
          <w:sz w:val="22"/>
          <w:szCs w:val="22"/>
        </w:rPr>
      </w:pPr>
      <w:r w:rsidRPr="001A7BBB">
        <w:rPr>
          <w:sz w:val="22"/>
          <w:szCs w:val="22"/>
        </w:rPr>
        <w:t xml:space="preserve">The authority to enter into and sign goods and services contracts on behalf of the University is limited to University personnel who have been authorized by the Trustees or a specific written delegation. In most cases, the </w:t>
      </w:r>
      <w:r w:rsidRPr="001A7BBB">
        <w:rPr>
          <w:rStyle w:val="Strong"/>
          <w:sz w:val="22"/>
          <w:szCs w:val="22"/>
        </w:rPr>
        <w:t>Vice President for Procurement Services</w:t>
      </w:r>
      <w:r w:rsidRPr="001A7BBB">
        <w:rPr>
          <w:sz w:val="22"/>
          <w:szCs w:val="22"/>
        </w:rPr>
        <w:t xml:space="preserve"> is the officer authorized to sign goods and services contracts on behalf of the University. For additional guidance on roles and responsibilities for the development, completion and management of contracts related to procurement of goods and services, please refer to </w:t>
      </w:r>
      <w:hyperlink r:id="rId9" w:history="1">
        <w:r w:rsidR="003D5ACB" w:rsidRPr="003D5ACB">
          <w:rPr>
            <w:rStyle w:val="Hyperlink"/>
            <w:b/>
            <w:sz w:val="22"/>
            <w:szCs w:val="22"/>
          </w:rPr>
          <w:t>Purchasing</w:t>
        </w:r>
      </w:hyperlink>
      <w:r w:rsidR="003D5ACB">
        <w:rPr>
          <w:sz w:val="22"/>
          <w:szCs w:val="22"/>
        </w:rPr>
        <w:t xml:space="preserve"> section of Procurement Services.</w:t>
      </w:r>
    </w:p>
    <w:p w:rsidR="00CC2932" w:rsidRPr="001A7BBB" w:rsidRDefault="00CC2932" w:rsidP="004D7008">
      <w:pPr>
        <w:pStyle w:val="NormalWeb"/>
        <w:rPr>
          <w:sz w:val="22"/>
          <w:szCs w:val="22"/>
        </w:rPr>
      </w:pPr>
      <w:r w:rsidRPr="001A7BBB">
        <w:rPr>
          <w:rStyle w:val="Strong"/>
          <w:sz w:val="22"/>
          <w:szCs w:val="22"/>
          <w:u w:val="single"/>
        </w:rPr>
        <w:t>Collaboration Agreement or Memorandum of Understanding (MOU)</w:t>
      </w:r>
      <w:r w:rsidRPr="001A7BBB">
        <w:rPr>
          <w:sz w:val="22"/>
          <w:szCs w:val="22"/>
        </w:rPr>
        <w:t xml:space="preserve"> is an agreement between two parties who share administration of a program. Sometimes an MOU articulates a standard arrangement that may apply to many programs. The MOU clarifies the nature of the work, the expectations and obligations of the parties, ownership of the work product, and allocation of costs and liabilities.  The </w:t>
      </w:r>
      <w:hyperlink r:id="rId10" w:history="1">
        <w:r w:rsidRPr="00B77ED5">
          <w:rPr>
            <w:rStyle w:val="Hyperlink"/>
            <w:b/>
            <w:sz w:val="22"/>
            <w:szCs w:val="22"/>
          </w:rPr>
          <w:t>Office of the General Counsel</w:t>
        </w:r>
      </w:hyperlink>
      <w:r w:rsidRPr="001A7BBB">
        <w:rPr>
          <w:sz w:val="22"/>
          <w:szCs w:val="22"/>
        </w:rPr>
        <w:t xml:space="preserve"> reviews these agreements, and any MOU with a foreign government agency is reviewed by the Vice Provost for International Affairs.</w:t>
      </w:r>
    </w:p>
    <w:p w:rsidR="00711BFA" w:rsidRPr="001A7BBB" w:rsidRDefault="00711BFA">
      <w:pPr>
        <w:rPr>
          <w:rFonts w:ascii="Times New Roman" w:hAnsi="Times New Roman" w:cs="Times New Roman"/>
        </w:rPr>
      </w:pPr>
    </w:p>
    <w:sectPr w:rsidR="00711BFA" w:rsidRPr="001A7BBB" w:rsidSect="008B4F0F">
      <w:footerReference w:type="default" r:id="rId11"/>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9B6" w:rsidRDefault="007919B6" w:rsidP="004724EF">
      <w:pPr>
        <w:spacing w:after="0" w:line="240" w:lineRule="auto"/>
      </w:pPr>
      <w:r>
        <w:separator/>
      </w:r>
    </w:p>
  </w:endnote>
  <w:endnote w:type="continuationSeparator" w:id="0">
    <w:p w:rsidR="007919B6" w:rsidRDefault="007919B6" w:rsidP="00472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354500"/>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rPr>
          <w:id w:val="-1669238322"/>
          <w:docPartObj>
            <w:docPartGallery w:val="Page Numbers (Top of Page)"/>
            <w:docPartUnique/>
          </w:docPartObj>
        </w:sdtPr>
        <w:sdtEndPr/>
        <w:sdtContent>
          <w:p w:rsidR="00101905" w:rsidRPr="004724EF" w:rsidRDefault="00101905" w:rsidP="004724EF">
            <w:pPr>
              <w:pStyle w:val="Footer"/>
              <w:jc w:val="right"/>
              <w:rPr>
                <w:rFonts w:ascii="Times New Roman" w:hAnsi="Times New Roman" w:cs="Times New Roman"/>
              </w:rPr>
            </w:pPr>
            <w:r w:rsidRPr="004724EF">
              <w:rPr>
                <w:rFonts w:ascii="Times New Roman" w:hAnsi="Times New Roman" w:cs="Times New Roman"/>
              </w:rPr>
              <w:t xml:space="preserve">Page </w:t>
            </w:r>
            <w:r w:rsidR="008941CE" w:rsidRPr="004724EF">
              <w:rPr>
                <w:rFonts w:ascii="Times New Roman" w:hAnsi="Times New Roman" w:cs="Times New Roman"/>
                <w:bCs/>
                <w:sz w:val="24"/>
                <w:szCs w:val="24"/>
              </w:rPr>
              <w:fldChar w:fldCharType="begin"/>
            </w:r>
            <w:r w:rsidRPr="004724EF">
              <w:rPr>
                <w:rFonts w:ascii="Times New Roman" w:hAnsi="Times New Roman" w:cs="Times New Roman"/>
                <w:bCs/>
              </w:rPr>
              <w:instrText xml:space="preserve"> PAGE </w:instrText>
            </w:r>
            <w:r w:rsidR="008941CE" w:rsidRPr="004724EF">
              <w:rPr>
                <w:rFonts w:ascii="Times New Roman" w:hAnsi="Times New Roman" w:cs="Times New Roman"/>
                <w:bCs/>
                <w:sz w:val="24"/>
                <w:szCs w:val="24"/>
              </w:rPr>
              <w:fldChar w:fldCharType="separate"/>
            </w:r>
            <w:r w:rsidR="008B4F0F">
              <w:rPr>
                <w:rFonts w:ascii="Times New Roman" w:hAnsi="Times New Roman" w:cs="Times New Roman"/>
                <w:bCs/>
                <w:noProof/>
              </w:rPr>
              <w:t>1</w:t>
            </w:r>
            <w:r w:rsidR="008941CE" w:rsidRPr="004724EF">
              <w:rPr>
                <w:rFonts w:ascii="Times New Roman" w:hAnsi="Times New Roman" w:cs="Times New Roman"/>
                <w:bCs/>
                <w:sz w:val="24"/>
                <w:szCs w:val="24"/>
              </w:rPr>
              <w:fldChar w:fldCharType="end"/>
            </w:r>
            <w:r w:rsidRPr="004724EF">
              <w:rPr>
                <w:rFonts w:ascii="Times New Roman" w:hAnsi="Times New Roman" w:cs="Times New Roman"/>
              </w:rPr>
              <w:t xml:space="preserve"> of </w:t>
            </w:r>
            <w:r w:rsidR="007E4777">
              <w:rPr>
                <w:rFonts w:ascii="Times New Roman" w:hAnsi="Times New Roman" w:cs="Times New Roman"/>
                <w:bCs/>
                <w:noProof/>
              </w:rPr>
              <w:t>2</w:t>
            </w:r>
            <w:r>
              <w:rPr>
                <w:rFonts w:ascii="Times New Roman" w:hAnsi="Times New Roman" w:cs="Times New Roman"/>
                <w:bCs/>
                <w:sz w:val="24"/>
                <w:szCs w:val="24"/>
              </w:rPr>
              <w:t xml:space="preserve"> </w:t>
            </w:r>
            <w:r>
              <w:rPr>
                <w:rFonts w:ascii="Times New Roman" w:hAnsi="Times New Roman" w:cs="Times New Roman"/>
                <w:bCs/>
                <w:sz w:val="24"/>
                <w:szCs w:val="24"/>
              </w:rPr>
              <w:tab/>
              <w:t>Global Support (</w:t>
            </w:r>
            <w:r w:rsidR="003D5ACB">
              <w:rPr>
                <w:rFonts w:ascii="Times New Roman" w:hAnsi="Times New Roman" w:cs="Times New Roman"/>
                <w:bCs/>
                <w:sz w:val="24"/>
                <w:szCs w:val="24"/>
              </w:rPr>
              <w:t>0</w:t>
            </w:r>
            <w:r w:rsidR="008B4F0F">
              <w:rPr>
                <w:rFonts w:ascii="Times New Roman" w:hAnsi="Times New Roman" w:cs="Times New Roman"/>
                <w:bCs/>
                <w:sz w:val="24"/>
                <w:szCs w:val="24"/>
              </w:rPr>
              <w:t>4-21</w:t>
            </w:r>
            <w:r w:rsidR="00B77ED5">
              <w:rPr>
                <w:rFonts w:ascii="Times New Roman" w:hAnsi="Times New Roman" w:cs="Times New Roman"/>
                <w:bCs/>
                <w:sz w:val="24"/>
                <w:szCs w:val="24"/>
              </w:rPr>
              <w:t>-13</w:t>
            </w:r>
            <w:r>
              <w:rPr>
                <w:rFonts w:ascii="Times New Roman" w:hAnsi="Times New Roman" w:cs="Times New Roman"/>
                <w:bCs/>
                <w:sz w:val="24"/>
                <w:szCs w:val="24"/>
              </w:rPr>
              <w:t>)</w:t>
            </w:r>
          </w:p>
        </w:sdtContent>
      </w:sdt>
    </w:sdtContent>
  </w:sdt>
  <w:p w:rsidR="00101905" w:rsidRDefault="001019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9B6" w:rsidRDefault="007919B6" w:rsidP="004724EF">
      <w:pPr>
        <w:spacing w:after="0" w:line="240" w:lineRule="auto"/>
      </w:pPr>
      <w:r>
        <w:separator/>
      </w:r>
    </w:p>
  </w:footnote>
  <w:footnote w:type="continuationSeparator" w:id="0">
    <w:p w:rsidR="007919B6" w:rsidRDefault="007919B6" w:rsidP="004724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1758D"/>
    <w:multiLevelType w:val="hybridMultilevel"/>
    <w:tmpl w:val="0CC68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E06517B"/>
    <w:multiLevelType w:val="hybridMultilevel"/>
    <w:tmpl w:val="4E64E3E2"/>
    <w:lvl w:ilvl="0" w:tplc="E02C8092">
      <w:start w:val="1"/>
      <w:numFmt w:val="bullet"/>
      <w:lvlText w:val=""/>
      <w:lvlJc w:val="left"/>
      <w:pPr>
        <w:tabs>
          <w:tab w:val="num" w:pos="720"/>
        </w:tabs>
        <w:ind w:left="720" w:hanging="360"/>
      </w:pPr>
      <w:rPr>
        <w:rFonts w:ascii="Wingdings 2" w:hAnsi="Wingdings 2" w:hint="default"/>
      </w:rPr>
    </w:lvl>
    <w:lvl w:ilvl="1" w:tplc="D700CD38" w:tentative="1">
      <w:start w:val="1"/>
      <w:numFmt w:val="bullet"/>
      <w:lvlText w:val=""/>
      <w:lvlJc w:val="left"/>
      <w:pPr>
        <w:tabs>
          <w:tab w:val="num" w:pos="1440"/>
        </w:tabs>
        <w:ind w:left="1440" w:hanging="360"/>
      </w:pPr>
      <w:rPr>
        <w:rFonts w:ascii="Wingdings 2" w:hAnsi="Wingdings 2" w:hint="default"/>
      </w:rPr>
    </w:lvl>
    <w:lvl w:ilvl="2" w:tplc="8934FBD2" w:tentative="1">
      <w:start w:val="1"/>
      <w:numFmt w:val="bullet"/>
      <w:lvlText w:val=""/>
      <w:lvlJc w:val="left"/>
      <w:pPr>
        <w:tabs>
          <w:tab w:val="num" w:pos="2160"/>
        </w:tabs>
        <w:ind w:left="2160" w:hanging="360"/>
      </w:pPr>
      <w:rPr>
        <w:rFonts w:ascii="Wingdings 2" w:hAnsi="Wingdings 2" w:hint="default"/>
      </w:rPr>
    </w:lvl>
    <w:lvl w:ilvl="3" w:tplc="74DCAFD2" w:tentative="1">
      <w:start w:val="1"/>
      <w:numFmt w:val="bullet"/>
      <w:lvlText w:val=""/>
      <w:lvlJc w:val="left"/>
      <w:pPr>
        <w:tabs>
          <w:tab w:val="num" w:pos="2880"/>
        </w:tabs>
        <w:ind w:left="2880" w:hanging="360"/>
      </w:pPr>
      <w:rPr>
        <w:rFonts w:ascii="Wingdings 2" w:hAnsi="Wingdings 2" w:hint="default"/>
      </w:rPr>
    </w:lvl>
    <w:lvl w:ilvl="4" w:tplc="9A10DFDE" w:tentative="1">
      <w:start w:val="1"/>
      <w:numFmt w:val="bullet"/>
      <w:lvlText w:val=""/>
      <w:lvlJc w:val="left"/>
      <w:pPr>
        <w:tabs>
          <w:tab w:val="num" w:pos="3600"/>
        </w:tabs>
        <w:ind w:left="3600" w:hanging="360"/>
      </w:pPr>
      <w:rPr>
        <w:rFonts w:ascii="Wingdings 2" w:hAnsi="Wingdings 2" w:hint="default"/>
      </w:rPr>
    </w:lvl>
    <w:lvl w:ilvl="5" w:tplc="D1EE42CE" w:tentative="1">
      <w:start w:val="1"/>
      <w:numFmt w:val="bullet"/>
      <w:lvlText w:val=""/>
      <w:lvlJc w:val="left"/>
      <w:pPr>
        <w:tabs>
          <w:tab w:val="num" w:pos="4320"/>
        </w:tabs>
        <w:ind w:left="4320" w:hanging="360"/>
      </w:pPr>
      <w:rPr>
        <w:rFonts w:ascii="Wingdings 2" w:hAnsi="Wingdings 2" w:hint="default"/>
      </w:rPr>
    </w:lvl>
    <w:lvl w:ilvl="6" w:tplc="35684552" w:tentative="1">
      <w:start w:val="1"/>
      <w:numFmt w:val="bullet"/>
      <w:lvlText w:val=""/>
      <w:lvlJc w:val="left"/>
      <w:pPr>
        <w:tabs>
          <w:tab w:val="num" w:pos="5040"/>
        </w:tabs>
        <w:ind w:left="5040" w:hanging="360"/>
      </w:pPr>
      <w:rPr>
        <w:rFonts w:ascii="Wingdings 2" w:hAnsi="Wingdings 2" w:hint="default"/>
      </w:rPr>
    </w:lvl>
    <w:lvl w:ilvl="7" w:tplc="EA6E3AF6" w:tentative="1">
      <w:start w:val="1"/>
      <w:numFmt w:val="bullet"/>
      <w:lvlText w:val=""/>
      <w:lvlJc w:val="left"/>
      <w:pPr>
        <w:tabs>
          <w:tab w:val="num" w:pos="5760"/>
        </w:tabs>
        <w:ind w:left="5760" w:hanging="360"/>
      </w:pPr>
      <w:rPr>
        <w:rFonts w:ascii="Wingdings 2" w:hAnsi="Wingdings 2" w:hint="default"/>
      </w:rPr>
    </w:lvl>
    <w:lvl w:ilvl="8" w:tplc="3E164554"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932"/>
    <w:rsid w:val="0000386A"/>
    <w:rsid w:val="00101905"/>
    <w:rsid w:val="001A7BBB"/>
    <w:rsid w:val="001C4DBA"/>
    <w:rsid w:val="00337976"/>
    <w:rsid w:val="00376D05"/>
    <w:rsid w:val="003D5ACB"/>
    <w:rsid w:val="003E6776"/>
    <w:rsid w:val="004611A0"/>
    <w:rsid w:val="004724EF"/>
    <w:rsid w:val="004D7008"/>
    <w:rsid w:val="004D7E87"/>
    <w:rsid w:val="004E5BC3"/>
    <w:rsid w:val="004F3515"/>
    <w:rsid w:val="00567F2B"/>
    <w:rsid w:val="006A358A"/>
    <w:rsid w:val="006A3803"/>
    <w:rsid w:val="00711BFA"/>
    <w:rsid w:val="00745DAC"/>
    <w:rsid w:val="007775E6"/>
    <w:rsid w:val="007919B6"/>
    <w:rsid w:val="007E4777"/>
    <w:rsid w:val="00852830"/>
    <w:rsid w:val="00871682"/>
    <w:rsid w:val="008941CE"/>
    <w:rsid w:val="008B4F0F"/>
    <w:rsid w:val="00952962"/>
    <w:rsid w:val="00A44D8E"/>
    <w:rsid w:val="00A75211"/>
    <w:rsid w:val="00A80ED4"/>
    <w:rsid w:val="00AB188D"/>
    <w:rsid w:val="00B66B4F"/>
    <w:rsid w:val="00B77ED5"/>
    <w:rsid w:val="00BA46D1"/>
    <w:rsid w:val="00BB35DB"/>
    <w:rsid w:val="00C57928"/>
    <w:rsid w:val="00CC2932"/>
    <w:rsid w:val="00D0754E"/>
    <w:rsid w:val="00D214CA"/>
    <w:rsid w:val="00D55D99"/>
    <w:rsid w:val="00D65B43"/>
    <w:rsid w:val="00D82819"/>
    <w:rsid w:val="00DF36CB"/>
    <w:rsid w:val="00E47438"/>
    <w:rsid w:val="00EE5E0E"/>
    <w:rsid w:val="00F57731"/>
    <w:rsid w:val="00F61EF5"/>
    <w:rsid w:val="00F77AC6"/>
    <w:rsid w:val="00FC4B32"/>
    <w:rsid w:val="00FC6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293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C2932"/>
    <w:rPr>
      <w:i/>
      <w:iCs/>
    </w:rPr>
  </w:style>
  <w:style w:type="character" w:styleId="Strong">
    <w:name w:val="Strong"/>
    <w:basedOn w:val="DefaultParagraphFont"/>
    <w:uiPriority w:val="22"/>
    <w:qFormat/>
    <w:rsid w:val="00CC2932"/>
    <w:rPr>
      <w:b/>
      <w:bCs/>
    </w:rPr>
  </w:style>
  <w:style w:type="character" w:styleId="Hyperlink">
    <w:name w:val="Hyperlink"/>
    <w:basedOn w:val="DefaultParagraphFont"/>
    <w:uiPriority w:val="99"/>
    <w:unhideWhenUsed/>
    <w:rsid w:val="00CC2932"/>
    <w:rPr>
      <w:color w:val="0000FF"/>
      <w:u w:val="single"/>
    </w:rPr>
  </w:style>
  <w:style w:type="paragraph" w:styleId="Header">
    <w:name w:val="header"/>
    <w:basedOn w:val="Normal"/>
    <w:link w:val="HeaderChar"/>
    <w:uiPriority w:val="99"/>
    <w:unhideWhenUsed/>
    <w:rsid w:val="004724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4EF"/>
  </w:style>
  <w:style w:type="paragraph" w:styleId="Footer">
    <w:name w:val="footer"/>
    <w:basedOn w:val="Normal"/>
    <w:link w:val="FooterChar"/>
    <w:uiPriority w:val="99"/>
    <w:unhideWhenUsed/>
    <w:rsid w:val="004724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4EF"/>
  </w:style>
  <w:style w:type="paragraph" w:styleId="BalloonText">
    <w:name w:val="Balloon Text"/>
    <w:basedOn w:val="Normal"/>
    <w:link w:val="BalloonTextChar"/>
    <w:uiPriority w:val="99"/>
    <w:semiHidden/>
    <w:unhideWhenUsed/>
    <w:rsid w:val="009529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962"/>
    <w:rPr>
      <w:rFonts w:ascii="Tahoma" w:hAnsi="Tahoma" w:cs="Tahoma"/>
      <w:sz w:val="16"/>
      <w:szCs w:val="16"/>
    </w:rPr>
  </w:style>
  <w:style w:type="character" w:styleId="FollowedHyperlink">
    <w:name w:val="FollowedHyperlink"/>
    <w:basedOn w:val="DefaultParagraphFont"/>
    <w:uiPriority w:val="99"/>
    <w:semiHidden/>
    <w:unhideWhenUsed/>
    <w:rsid w:val="003D5AC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293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C2932"/>
    <w:rPr>
      <w:i/>
      <w:iCs/>
    </w:rPr>
  </w:style>
  <w:style w:type="character" w:styleId="Strong">
    <w:name w:val="Strong"/>
    <w:basedOn w:val="DefaultParagraphFont"/>
    <w:uiPriority w:val="22"/>
    <w:qFormat/>
    <w:rsid w:val="00CC2932"/>
    <w:rPr>
      <w:b/>
      <w:bCs/>
    </w:rPr>
  </w:style>
  <w:style w:type="character" w:styleId="Hyperlink">
    <w:name w:val="Hyperlink"/>
    <w:basedOn w:val="DefaultParagraphFont"/>
    <w:uiPriority w:val="99"/>
    <w:unhideWhenUsed/>
    <w:rsid w:val="00CC2932"/>
    <w:rPr>
      <w:color w:val="0000FF"/>
      <w:u w:val="single"/>
    </w:rPr>
  </w:style>
  <w:style w:type="paragraph" w:styleId="Header">
    <w:name w:val="header"/>
    <w:basedOn w:val="Normal"/>
    <w:link w:val="HeaderChar"/>
    <w:uiPriority w:val="99"/>
    <w:unhideWhenUsed/>
    <w:rsid w:val="004724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4EF"/>
  </w:style>
  <w:style w:type="paragraph" w:styleId="Footer">
    <w:name w:val="footer"/>
    <w:basedOn w:val="Normal"/>
    <w:link w:val="FooterChar"/>
    <w:uiPriority w:val="99"/>
    <w:unhideWhenUsed/>
    <w:rsid w:val="004724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4EF"/>
  </w:style>
  <w:style w:type="paragraph" w:styleId="BalloonText">
    <w:name w:val="Balloon Text"/>
    <w:basedOn w:val="Normal"/>
    <w:link w:val="BalloonTextChar"/>
    <w:uiPriority w:val="99"/>
    <w:semiHidden/>
    <w:unhideWhenUsed/>
    <w:rsid w:val="009529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962"/>
    <w:rPr>
      <w:rFonts w:ascii="Tahoma" w:hAnsi="Tahoma" w:cs="Tahoma"/>
      <w:sz w:val="16"/>
      <w:szCs w:val="16"/>
    </w:rPr>
  </w:style>
  <w:style w:type="character" w:styleId="FollowedHyperlink">
    <w:name w:val="FollowedHyperlink"/>
    <w:basedOn w:val="DefaultParagraphFont"/>
    <w:uiPriority w:val="99"/>
    <w:semiHidden/>
    <w:unhideWhenUsed/>
    <w:rsid w:val="003D5A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42548">
      <w:bodyDiv w:val="1"/>
      <w:marLeft w:val="0"/>
      <w:marRight w:val="0"/>
      <w:marTop w:val="0"/>
      <w:marBottom w:val="0"/>
      <w:divBdr>
        <w:top w:val="none" w:sz="0" w:space="0" w:color="auto"/>
        <w:left w:val="none" w:sz="0" w:space="0" w:color="auto"/>
        <w:bottom w:val="none" w:sz="0" w:space="0" w:color="auto"/>
        <w:right w:val="none" w:sz="0" w:space="0" w:color="auto"/>
      </w:divBdr>
      <w:divsChild>
        <w:div w:id="113182591">
          <w:marLeft w:val="432"/>
          <w:marRight w:val="0"/>
          <w:marTop w:val="116"/>
          <w:marBottom w:val="0"/>
          <w:divBdr>
            <w:top w:val="none" w:sz="0" w:space="0" w:color="auto"/>
            <w:left w:val="none" w:sz="0" w:space="0" w:color="auto"/>
            <w:bottom w:val="none" w:sz="0" w:space="0" w:color="auto"/>
            <w:right w:val="none" w:sz="0" w:space="0" w:color="auto"/>
          </w:divBdr>
        </w:div>
        <w:div w:id="173998500">
          <w:marLeft w:val="432"/>
          <w:marRight w:val="0"/>
          <w:marTop w:val="116"/>
          <w:marBottom w:val="0"/>
          <w:divBdr>
            <w:top w:val="none" w:sz="0" w:space="0" w:color="auto"/>
            <w:left w:val="none" w:sz="0" w:space="0" w:color="auto"/>
            <w:bottom w:val="none" w:sz="0" w:space="0" w:color="auto"/>
            <w:right w:val="none" w:sz="0" w:space="0" w:color="auto"/>
          </w:divBdr>
        </w:div>
        <w:div w:id="1956713930">
          <w:marLeft w:val="432"/>
          <w:marRight w:val="0"/>
          <w:marTop w:val="116"/>
          <w:marBottom w:val="0"/>
          <w:divBdr>
            <w:top w:val="none" w:sz="0" w:space="0" w:color="auto"/>
            <w:left w:val="none" w:sz="0" w:space="0" w:color="auto"/>
            <w:bottom w:val="none" w:sz="0" w:space="0" w:color="auto"/>
            <w:right w:val="none" w:sz="0" w:space="0" w:color="auto"/>
          </w:divBdr>
        </w:div>
      </w:divsChild>
    </w:div>
    <w:div w:id="1446004935">
      <w:bodyDiv w:val="1"/>
      <w:marLeft w:val="0"/>
      <w:marRight w:val="0"/>
      <w:marTop w:val="0"/>
      <w:marBottom w:val="0"/>
      <w:divBdr>
        <w:top w:val="none" w:sz="0" w:space="0" w:color="auto"/>
        <w:left w:val="none" w:sz="0" w:space="0" w:color="auto"/>
        <w:bottom w:val="none" w:sz="0" w:space="0" w:color="auto"/>
        <w:right w:val="none" w:sz="0" w:space="0" w:color="auto"/>
      </w:divBdr>
    </w:div>
    <w:div w:id="1965883531">
      <w:bodyDiv w:val="1"/>
      <w:marLeft w:val="0"/>
      <w:marRight w:val="0"/>
      <w:marTop w:val="0"/>
      <w:marBottom w:val="0"/>
      <w:divBdr>
        <w:top w:val="none" w:sz="0" w:space="0" w:color="auto"/>
        <w:left w:val="none" w:sz="0" w:space="0" w:color="auto"/>
        <w:bottom w:val="none" w:sz="0" w:space="0" w:color="auto"/>
        <w:right w:val="none" w:sz="0" w:space="0" w:color="auto"/>
      </w:divBdr>
      <w:divsChild>
        <w:div w:id="2085101213">
          <w:marLeft w:val="0"/>
          <w:marRight w:val="0"/>
          <w:marTop w:val="0"/>
          <w:marBottom w:val="0"/>
          <w:divBdr>
            <w:top w:val="none" w:sz="0" w:space="0" w:color="auto"/>
            <w:left w:val="none" w:sz="0" w:space="0" w:color="auto"/>
            <w:bottom w:val="none" w:sz="0" w:space="0" w:color="auto"/>
            <w:right w:val="none" w:sz="0" w:space="0" w:color="auto"/>
          </w:divBdr>
          <w:divsChild>
            <w:div w:id="711424008">
              <w:marLeft w:val="0"/>
              <w:marRight w:val="0"/>
              <w:marTop w:val="0"/>
              <w:marBottom w:val="0"/>
              <w:divBdr>
                <w:top w:val="none" w:sz="0" w:space="0" w:color="auto"/>
                <w:left w:val="none" w:sz="0" w:space="0" w:color="auto"/>
                <w:bottom w:val="none" w:sz="0" w:space="0" w:color="auto"/>
                <w:right w:val="none" w:sz="0" w:space="0" w:color="auto"/>
              </w:divBdr>
              <w:divsChild>
                <w:div w:id="111197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columbia.edu/subaward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ogc.columbia.edu/" TargetMode="External"/><Relationship Id="rId4" Type="http://schemas.openxmlformats.org/officeDocument/2006/relationships/settings" Target="settings.xml"/><Relationship Id="rId9" Type="http://schemas.openxmlformats.org/officeDocument/2006/relationships/hyperlink" Target="http://finance.columbia.edu/procurement/purcha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861</Words>
  <Characters>4910</Characters>
  <Application>Microsoft Office Word</Application>
  <DocSecurity>0</DocSecurity>
  <PresentationFormat/>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5760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2013-04-23T13:46:00Z</dcterms:created>
  <dcterms:modified xsi:type="dcterms:W3CDTF">2013-04-23T13:46:00Z</dcterms:modified>
</cp:coreProperties>
</file>